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6C62D" w14:textId="77777777" w:rsidR="00933180" w:rsidRDefault="00933180">
      <w:r>
        <w:separator/>
      </w:r>
    </w:p>
  </w:endnote>
  <w:endnote w:type="continuationSeparator" w:id="0">
    <w:p w14:paraId="3047F988" w14:textId="77777777" w:rsidR="00933180" w:rsidRDefault="0093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8A63" w14:textId="77777777" w:rsidR="00933180" w:rsidRDefault="00933180">
      <w:r>
        <w:separator/>
      </w:r>
    </w:p>
  </w:footnote>
  <w:footnote w:type="continuationSeparator" w:id="0">
    <w:p w14:paraId="42334557" w14:textId="77777777" w:rsidR="00933180" w:rsidRDefault="00933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2975D6">
    <w:pPr>
      <w:framePr w:w="3419" w:wrap="around" w:vAnchor="text" w:hAnchor="page" w:x="6950" w:y="-81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2975D6">
    <w:pPr>
      <w:framePr w:w="3419" w:wrap="around" w:vAnchor="text" w:hAnchor="page" w:x="6950" w:y="-81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3DC3B151" w14:textId="2298C7A1" w:rsidR="00401911" w:rsidRPr="00401911" w:rsidRDefault="00401911" w:rsidP="00401911">
    <w:pPr>
      <w:pStyle w:val="Topptekst"/>
      <w:framePr w:w="3419" w:wrap="around" w:vAnchor="text" w:hAnchor="page" w:x="6950" w:y="-81"/>
      <w:rPr>
        <w:b/>
        <w:bCs/>
        <w:sz w:val="13"/>
        <w:szCs w:val="13"/>
        <w:lang w:val="en-US"/>
      </w:rPr>
    </w:pPr>
    <w:r>
      <w:rPr>
        <w:b/>
        <w:bCs/>
        <w:sz w:val="13"/>
        <w:szCs w:val="13"/>
        <w:lang w:val="en-US"/>
      </w:rPr>
      <w:tab/>
    </w:r>
    <w:r w:rsidRPr="00401911">
      <w:rPr>
        <w:b/>
        <w:bCs/>
        <w:sz w:val="13"/>
        <w:szCs w:val="13"/>
        <w:lang w:val="en-US"/>
      </w:rPr>
      <w:t>K946.01.02 Pharmaceutical dissolution equipment</w:t>
    </w:r>
  </w:p>
  <w:p w14:paraId="17764639" w14:textId="5A2F33F1" w:rsidR="00401911" w:rsidRPr="00401911" w:rsidRDefault="00401911" w:rsidP="00401911">
    <w:pPr>
      <w:pStyle w:val="Topptekst"/>
      <w:framePr w:w="3419" w:wrap="around" w:vAnchor="text" w:hAnchor="page" w:x="6950" w:y="-81"/>
      <w:rPr>
        <w:b/>
        <w:sz w:val="13"/>
        <w:szCs w:val="13"/>
        <w:lang w:val="en-US"/>
      </w:rPr>
    </w:pPr>
    <w:r>
      <w:rPr>
        <w:b/>
        <w:sz w:val="13"/>
        <w:szCs w:val="13"/>
        <w:lang w:val="en-US"/>
      </w:rPr>
      <w:tab/>
    </w:r>
    <w:proofErr w:type="spellStart"/>
    <w:r w:rsidRPr="00401911">
      <w:rPr>
        <w:b/>
        <w:sz w:val="13"/>
        <w:szCs w:val="13"/>
        <w:lang w:val="en-US"/>
      </w:rPr>
      <w:t>Saksnummer</w:t>
    </w:r>
    <w:proofErr w:type="spellEnd"/>
    <w:r w:rsidRPr="00401911">
      <w:rPr>
        <w:b/>
        <w:sz w:val="13"/>
        <w:szCs w:val="13"/>
        <w:lang w:val="en-US"/>
      </w:rPr>
      <w:t>: 2026/3127</w:t>
    </w:r>
  </w:p>
  <w:p w14:paraId="2BFB9E33" w14:textId="77777777" w:rsidR="00E33381" w:rsidRPr="00401911" w:rsidRDefault="00E33381" w:rsidP="002975D6">
    <w:pPr>
      <w:pStyle w:val="Topptekst"/>
      <w:framePr w:w="3419" w:wrap="around" w:vAnchor="text" w:hAnchor="page" w:x="6950" w:y="-81"/>
      <w:jc w:val="right"/>
      <w:rPr>
        <w:rStyle w:val="Sidetall"/>
        <w:lang w:val="en-US"/>
      </w:rPr>
    </w:pPr>
  </w:p>
  <w:p w14:paraId="2BFB9E34" w14:textId="77777777" w:rsidR="00E33381" w:rsidRPr="00401911" w:rsidRDefault="00E33381">
    <w:pPr>
      <w:pStyle w:val="Topptekst"/>
      <w:ind w:right="360"/>
      <w:rPr>
        <w:sz w:val="28"/>
        <w:lang w:val="en-US"/>
      </w:rPr>
    </w:pPr>
  </w:p>
  <w:p w14:paraId="2BFB9E35" w14:textId="77777777" w:rsidR="00E33381" w:rsidRPr="00401911" w:rsidRDefault="00E33381">
    <w:pPr>
      <w:pStyle w:val="Topptekst"/>
      <w:ind w:right="360"/>
      <w:rPr>
        <w:sz w:val="28"/>
        <w:lang w:val="en-US"/>
      </w:rPr>
    </w:pPr>
  </w:p>
  <w:p w14:paraId="2BFB9E36" w14:textId="77777777" w:rsidR="00E33381" w:rsidRPr="00401911" w:rsidRDefault="00E33381">
    <w:pPr>
      <w:pStyle w:val="Topptekst"/>
      <w:ind w:right="360"/>
      <w:rPr>
        <w:sz w:val="22"/>
        <w:szCs w:val="22"/>
        <w:lang w:val="en-US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01911">
      <w:rPr>
        <w:sz w:val="28"/>
        <w:lang w:val="en-US"/>
      </w:rPr>
      <w:tab/>
    </w:r>
    <w:r w:rsidRPr="00401911">
      <w:rPr>
        <w:sz w:val="28"/>
        <w:lang w:val="en-US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975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01911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13E1E"/>
    <w:rsid w:val="00933180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393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BDDAA8-D175-4E84-B27C-C6BAC05AB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179326D-5021-49A6-98F8-DE0FA152735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7</cp:revision>
  <cp:lastPrinted>2015-09-07T12:06:00Z</cp:lastPrinted>
  <dcterms:created xsi:type="dcterms:W3CDTF">2024-04-19T11:01:00Z</dcterms:created>
  <dcterms:modified xsi:type="dcterms:W3CDTF">2026-06-01T08:00:00Z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2026-02-09T14:21:20Z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https://elementsweb.statsbygg.pro/Elements/rm/STATSBYGG_PROD#nav=/cases/46632/registryEntries/663246, 2025/950 Universitetet i Oslo UIO - Livsvitenskap - K946.01 Galenisk farmasi – Kontrahering</vt:lpwstr>
  </property>
  <property fmtid="{D5CDD505-2E9C-101B-9397-08002B2CF9AE}" pid="14" name="ArchivedToRegistryEntry">
    <vt:lpwstr>https://elementsweb.statsbygg.pro/Elements/rm/STATSBYGG_PROD#nav=/cases/46632/registryEntries/663246, 2025/950-22 K946.01 Galenisk farmasi - Konkurransegrunnlag [X]</vt:lpwstr>
  </property>
</Properties>
</file>